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УДК 330.322</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b w:val="1"/>
          <w:bCs w:val="1"/>
          <w:smallCaps w:val="0"/>
          <w:sz w:val="28"/>
          <w:szCs w:val="28"/>
        </w:rPr>
      </w:pPr>
      <w:r w:rsidDel="00000000" w:rsidR="00000000" w:rsidRPr="00000000">
        <w:rPr>
          <w:rFonts w:ascii="Times New Roman" w:cs="Times New Roman" w:eastAsia="Times New Roman" w:hAnsi="Times New Roman"/>
          <w:b w:val="1"/>
          <w:bCs w:val="1"/>
          <w:smallCaps w:val="0"/>
          <w:sz w:val="28"/>
          <w:szCs w:val="28"/>
          <w:rtl w:val="0"/>
        </w:rPr>
        <w:t xml:space="preserve">Организация инвестиционной деятельности… текст заголовка набран строчными буквами</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b w:val="1"/>
          <w:bCs w:val="1"/>
          <w:smallCaps w:val="0"/>
          <w:sz w:val="28"/>
          <w:szCs w:val="28"/>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О. А. Иванова</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Новосибирский государственный университет экономики и управления «НИНХ»</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line="240" w:lineRule="auto"/>
        <w:ind w:firstLine="283.46456692913375"/>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Привлечение инвестиций играет решающую роль…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line="240" w:lineRule="auto"/>
        <w:ind w:firstLine="283.46456692913375"/>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Текст текст текст текст, ссылка на литературу в квадратных скобках [1].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line="240" w:lineRule="auto"/>
        <w:ind w:firstLine="283.46456692913375"/>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ссылка на литературу в квадратных скобках [2]. Текст, текст, текст, текст, текст, текст, текст, текст, текст, текст, текст, текст, текст, текст, текст, текст, текст, текст, текст, текст, текст, текст, текст.</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line="240" w:lineRule="auto"/>
        <w:ind w:firstLine="283.46456692913375"/>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Текст текст текст текст, ссылка на литературу в квадратных скобках [3].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line="240" w:lineRule="auto"/>
        <w:ind w:firstLine="283.46456692913375"/>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Текст текст текст текст, ссылка на литературу в квадратных скобках [4].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line="240" w:lineRule="auto"/>
        <w:ind w:firstLine="283.46456692913375"/>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Окончание текста.</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line="240" w:lineRule="auto"/>
        <w:ind w:firstLine="567"/>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line="240" w:lineRule="auto"/>
        <w:ind w:firstLine="283.46456692913375"/>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Деловой форум «Инвестируй в Новосибирск». URL: https://novobusiness.timepad.ru/event/861555/ (дата обращения: 06.02.2021).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line="240" w:lineRule="auto"/>
        <w:ind w:firstLine="283.46456692913375"/>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Инвестиционный портал города Новосибирска. URL: http://xn--90abaanqccbfq0afob0ajgiehy.xn--p1ai/ (дата обращения: 06.02.2021).</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line="240" w:lineRule="auto"/>
        <w:ind w:firstLine="283.46456692913375"/>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3. Международный форум-выставка «Городские технологии». URL: https://www.novosibexpo.ru/news/gorodskie_tehnologii_2019.html (дата обращения: 06.02.2021).</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line="240" w:lineRule="auto"/>
        <w:ind w:firstLine="283.46456692913375"/>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4. Официальный сайт города Новосибирска. URL: https://novo-sibirsk.ru/ (дата обращения: 06.02.2020).</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Научный руководитель — канд. техн. наук, доц. В. А. Макаров</w:t>
      </w:r>
    </w:p>
    <w:sectPr>
      <w:pgSz w:h="16838" w:w="11906" w:orient="portrait"/>
      <w:pgMar w:bottom="1134" w:top="1134"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0" w:before="240" w:lineRule="auto"/>
    </w:pPr>
    <w:rPr>
      <w:rFonts w:ascii="Cambria" w:cs="Cambria" w:eastAsia="Cambria" w:hAnsi="Cambria"/>
      <w:smallCaps w:val="0"/>
      <w:color w:val="365f91"/>
      <w:sz w:val="32"/>
      <w:szCs w:val="32"/>
    </w:rPr>
  </w:style>
  <w:style w:type="paragraph" w:styleId="Heading2">
    <w:name w:val="heading 2"/>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0" w:before="40" w:lineRule="auto"/>
    </w:pPr>
    <w:rPr>
      <w:rFonts w:ascii="Cambria" w:cs="Cambria" w:eastAsia="Cambria" w:hAnsi="Cambria"/>
      <w:smallCaps w:val="0"/>
      <w:color w:val="365f91"/>
      <w:sz w:val="26"/>
      <w:szCs w:val="26"/>
    </w:rPr>
  </w:style>
  <w:style w:type="paragraph" w:styleId="Heading3">
    <w:name w:val="heading 3"/>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0" w:before="40" w:lineRule="auto"/>
    </w:pPr>
    <w:rPr>
      <w:rFonts w:ascii="Cambria" w:cs="Cambria" w:eastAsia="Cambria" w:hAnsi="Cambria"/>
      <w:smallCaps w:val="0"/>
      <w:color w:val="243f60"/>
      <w:sz w:val="24"/>
      <w:szCs w:val="24"/>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bCs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bCs w:val="1"/>
      <w:i w:val="1"/>
      <w:iCs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bCs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bCs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